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4088" w14:textId="226027F6" w:rsidR="002D1F02" w:rsidRPr="00CE35A4" w:rsidRDefault="002D1F02" w:rsidP="002D1F02">
      <w:pPr>
        <w:pStyle w:val="3GPPHeader"/>
        <w:spacing w:after="60"/>
        <w:rPr>
          <w:sz w:val="28"/>
          <w:szCs w:val="28"/>
        </w:rPr>
      </w:pPr>
      <w:r w:rsidRPr="00CE0424">
        <w:t>3GPP TSG-RAN WG</w:t>
      </w:r>
      <w:r>
        <w:t>2</w:t>
      </w:r>
      <w:r w:rsidRPr="00CE0424">
        <w:t xml:space="preserve"> #</w:t>
      </w:r>
      <w:r>
        <w:t>101</w:t>
      </w:r>
      <w:r w:rsidRPr="00CE35A4">
        <w:rPr>
          <w:sz w:val="28"/>
          <w:szCs w:val="28"/>
        </w:rPr>
        <w:tab/>
      </w:r>
      <w:r w:rsidR="00A1162F" w:rsidRPr="00A1162F">
        <w:rPr>
          <w:sz w:val="28"/>
          <w:szCs w:val="28"/>
        </w:rPr>
        <w:t>R2-1802784</w:t>
      </w:r>
    </w:p>
    <w:p w14:paraId="755D5C7C" w14:textId="16AA8C6E" w:rsidR="002D1F02" w:rsidRPr="000742B4" w:rsidRDefault="002D1F02" w:rsidP="002D1F02">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p>
    <w:p w14:paraId="6E04A07A" w14:textId="77777777" w:rsidR="00E90E49" w:rsidRPr="00CE0424" w:rsidRDefault="00E90E49" w:rsidP="00357380">
      <w:pPr>
        <w:pStyle w:val="3GPPHeader"/>
      </w:pPr>
    </w:p>
    <w:p w14:paraId="428D65D3" w14:textId="58000B07" w:rsidR="00E90E49" w:rsidRPr="003A137D" w:rsidRDefault="00E90E49" w:rsidP="00311702">
      <w:pPr>
        <w:pStyle w:val="3GPPHeader"/>
        <w:rPr>
          <w:sz w:val="22"/>
          <w:szCs w:val="22"/>
          <w:lang w:val="en-US"/>
        </w:rPr>
      </w:pPr>
      <w:r w:rsidRPr="003A137D">
        <w:rPr>
          <w:sz w:val="22"/>
          <w:szCs w:val="22"/>
          <w:lang w:val="en-US"/>
        </w:rPr>
        <w:t>Agenda Item:</w:t>
      </w:r>
      <w:r w:rsidRPr="003A137D">
        <w:rPr>
          <w:sz w:val="22"/>
          <w:szCs w:val="22"/>
          <w:lang w:val="en-US"/>
        </w:rPr>
        <w:tab/>
      </w:r>
      <w:r w:rsidR="002D1F02" w:rsidRPr="002D1F02">
        <w:rPr>
          <w:sz w:val="22"/>
          <w:szCs w:val="22"/>
          <w:lang w:val="en-US"/>
        </w:rPr>
        <w:t>10.4.1.7.6</w:t>
      </w:r>
      <w:bookmarkStart w:id="0" w:name="_GoBack"/>
      <w:bookmarkEnd w:id="0"/>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0B0205" w14:textId="5660FDE4" w:rsidR="004642C3" w:rsidRDefault="003D3C45" w:rsidP="00311702">
      <w:pPr>
        <w:pStyle w:val="3GPPHeader"/>
        <w:rPr>
          <w:sz w:val="22"/>
          <w:szCs w:val="22"/>
        </w:rPr>
      </w:pPr>
      <w:r>
        <w:rPr>
          <w:sz w:val="22"/>
          <w:szCs w:val="22"/>
        </w:rPr>
        <w:t>Title:</w:t>
      </w:r>
      <w:r w:rsidR="00E90E49" w:rsidRPr="00CE0424">
        <w:rPr>
          <w:sz w:val="22"/>
          <w:szCs w:val="22"/>
        </w:rPr>
        <w:tab/>
      </w:r>
      <w:r w:rsidR="004642C3" w:rsidRPr="004642C3">
        <w:rPr>
          <w:sz w:val="22"/>
          <w:szCs w:val="22"/>
        </w:rPr>
        <w:t>On the configurability of NR serving cell reporting</w:t>
      </w:r>
      <w:r w:rsidR="00642F49">
        <w:rPr>
          <w:sz w:val="22"/>
          <w:szCs w:val="22"/>
        </w:rPr>
        <w:t xml:space="preserve"> (E406)</w:t>
      </w:r>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0B21E690" w14:textId="2B869A3F" w:rsidR="00866E99" w:rsidRDefault="00325EC6" w:rsidP="00325EC6">
      <w:r>
        <w:t>An LS from RAN4 has been sent regarding the requirement that the UE shall always perform serving cell measurements on all frequency layers [1]. This paper tries to analyse the consequences of the RAN4 agreements highlighted in the LS and proposes a way forward.</w:t>
      </w:r>
    </w:p>
    <w:p w14:paraId="225B1E27" w14:textId="562AF0E3" w:rsidR="00EF2308" w:rsidRDefault="004000E8" w:rsidP="00155EDB">
      <w:pPr>
        <w:pStyle w:val="Heading1"/>
      </w:pPr>
      <w:bookmarkStart w:id="1" w:name="_Ref178064866"/>
      <w:r w:rsidRPr="00CE0424">
        <w:t>Discussion</w:t>
      </w:r>
      <w:bookmarkEnd w:id="1"/>
    </w:p>
    <w:p w14:paraId="4417F93E" w14:textId="1A505D22" w:rsidR="00325EC6" w:rsidRDefault="00325EC6" w:rsidP="00155EDB">
      <w:pPr>
        <w:pStyle w:val="BodyText"/>
      </w:pPr>
      <w:r>
        <w:t xml:space="preserve">In LTE, serving cell measurements are not configurable, simplifying the measurement procedures, avoiding yet another level of configurability. The same approach has been adopted in NR and it has been identified in the specifications. </w:t>
      </w:r>
    </w:p>
    <w:p w14:paraId="05BD7087" w14:textId="3511F4B4" w:rsidR="00325EC6" w:rsidRDefault="00325EC6" w:rsidP="00155EDB">
      <w:pPr>
        <w:pStyle w:val="BodyText"/>
      </w:pPr>
      <w:r>
        <w:t>However, RAN4 has identified at least one case where it might not be needed for the UE to measure all frequency layers as measurements in one layer may be representative of measurements in another layer, in the special case where both layers are from the same band. The LS explicitly says the following:</w:t>
      </w:r>
    </w:p>
    <w:p w14:paraId="6FD05C0D" w14:textId="77777777" w:rsidR="00325EC6" w:rsidRPr="00325EC6" w:rsidRDefault="00325EC6" w:rsidP="00325EC6">
      <w:pPr>
        <w:rPr>
          <w:rFonts w:cs="Arial"/>
          <w:i/>
          <w:lang w:eastAsia="ja-JP"/>
        </w:rPr>
      </w:pPr>
      <w:r w:rsidRPr="00325EC6">
        <w:rPr>
          <w:rFonts w:cs="Arial" w:hint="eastAsia"/>
          <w:i/>
          <w:highlight w:val="yellow"/>
          <w:lang w:eastAsia="ja-JP"/>
        </w:rPr>
        <w:t>two serving cell frequency layers are within the same band, intra-frequency measurement results on each serving cell frequency layer could be almost same.</w:t>
      </w:r>
    </w:p>
    <w:p w14:paraId="3EF66AF1" w14:textId="768E5876" w:rsidR="00325EC6" w:rsidRPr="00325EC6" w:rsidRDefault="00325EC6" w:rsidP="00325EC6">
      <w:pPr>
        <w:pStyle w:val="BodyText"/>
      </w:pPr>
      <w:r>
        <w:t>Then, RAN4 has agreed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5EC6" w:rsidRPr="00FE2BCA" w14:paraId="456058CE" w14:textId="77777777" w:rsidTr="00325EC6">
        <w:tc>
          <w:tcPr>
            <w:tcW w:w="10063" w:type="dxa"/>
            <w:shd w:val="clear" w:color="auto" w:fill="auto"/>
          </w:tcPr>
          <w:p w14:paraId="0E718648" w14:textId="77777777" w:rsidR="00325EC6" w:rsidRPr="00FE2BCA" w:rsidRDefault="00325EC6" w:rsidP="00325EC6">
            <w:pPr>
              <w:numPr>
                <w:ilvl w:val="0"/>
                <w:numId w:val="20"/>
              </w:numPr>
              <w:overflowPunct/>
              <w:autoSpaceDE/>
              <w:autoSpaceDN/>
              <w:adjustRightInd/>
              <w:textAlignment w:val="auto"/>
              <w:rPr>
                <w:rFonts w:cs="Arial"/>
                <w:b/>
                <w:lang w:val="en-US" w:eastAsia="ja-JP"/>
              </w:rPr>
            </w:pPr>
            <w:r w:rsidRPr="00FE2BCA">
              <w:rPr>
                <w:rFonts w:cs="Arial"/>
                <w:b/>
                <w:lang w:val="en-US" w:eastAsia="ja-JP"/>
              </w:rPr>
              <w:t>NR supports to configure enabling/disabling intra-frequency measurement on each NR SCell</w:t>
            </w:r>
            <w:r w:rsidRPr="00FE2BCA">
              <w:rPr>
                <w:rFonts w:cs="Arial" w:hint="eastAsia"/>
                <w:b/>
                <w:lang w:val="en-US" w:eastAsia="ja-JP"/>
              </w:rPr>
              <w:t xml:space="preserve"> frequency layer</w:t>
            </w:r>
          </w:p>
          <w:p w14:paraId="34392CC2" w14:textId="77777777" w:rsidR="00325EC6" w:rsidRPr="00FE2BCA" w:rsidRDefault="00325EC6" w:rsidP="00325EC6">
            <w:pPr>
              <w:numPr>
                <w:ilvl w:val="1"/>
                <w:numId w:val="20"/>
              </w:numPr>
              <w:overflowPunct/>
              <w:autoSpaceDE/>
              <w:autoSpaceDN/>
              <w:adjustRightInd/>
              <w:textAlignment w:val="auto"/>
              <w:rPr>
                <w:rFonts w:cs="Arial"/>
                <w:b/>
                <w:lang w:val="en-US" w:eastAsia="ja-JP"/>
              </w:rPr>
            </w:pPr>
            <w:r w:rsidRPr="00FE2BCA">
              <w:rPr>
                <w:rFonts w:cs="Arial"/>
                <w:b/>
                <w:lang w:val="en-US" w:eastAsia="ja-JP"/>
              </w:rPr>
              <w:t>When there is at least one serving cell with intra-frequency measurement within serving cells for intra-band CA, disabling intra-frequency measurement on other serving cell(s) is possible</w:t>
            </w:r>
          </w:p>
          <w:p w14:paraId="1076D596" w14:textId="77777777" w:rsidR="00325EC6" w:rsidRPr="00FE2BCA" w:rsidRDefault="00325EC6" w:rsidP="00325EC6">
            <w:pPr>
              <w:numPr>
                <w:ilvl w:val="2"/>
                <w:numId w:val="20"/>
              </w:numPr>
              <w:overflowPunct/>
              <w:autoSpaceDE/>
              <w:autoSpaceDN/>
              <w:adjustRightInd/>
              <w:textAlignment w:val="auto"/>
              <w:rPr>
                <w:rFonts w:cs="Arial"/>
                <w:b/>
                <w:lang w:val="en-US" w:eastAsia="ja-JP"/>
              </w:rPr>
            </w:pPr>
            <w:r w:rsidRPr="00FE2BCA">
              <w:rPr>
                <w:rFonts w:cs="Arial"/>
                <w:b/>
                <w:lang w:val="en-US" w:eastAsia="ja-JP"/>
              </w:rPr>
              <w:t>FFS: whether additional condition(s) for disabling intra-frequency measurement on NR Scell is/are defined or not</w:t>
            </w:r>
          </w:p>
          <w:p w14:paraId="39EC9D6E" w14:textId="77777777" w:rsidR="00325EC6" w:rsidRPr="00FE2BCA" w:rsidRDefault="00325EC6" w:rsidP="00325EC6">
            <w:pPr>
              <w:numPr>
                <w:ilvl w:val="1"/>
                <w:numId w:val="20"/>
              </w:numPr>
              <w:overflowPunct/>
              <w:autoSpaceDE/>
              <w:autoSpaceDN/>
              <w:adjustRightInd/>
              <w:textAlignment w:val="auto"/>
              <w:rPr>
                <w:rFonts w:cs="Arial"/>
                <w:lang w:val="en-US" w:eastAsia="ja-JP"/>
              </w:rPr>
            </w:pPr>
            <w:r w:rsidRPr="00FE2BCA">
              <w:rPr>
                <w:rFonts w:cs="Arial"/>
                <w:b/>
                <w:lang w:val="en-US" w:eastAsia="ja-JP"/>
              </w:rPr>
              <w:t>Detailed signaling design is up to RAN2</w:t>
            </w:r>
          </w:p>
        </w:tc>
      </w:tr>
    </w:tbl>
    <w:p w14:paraId="1C3BBA7E" w14:textId="77777777" w:rsidR="00325EC6" w:rsidRDefault="00325EC6" w:rsidP="00325EC6">
      <w:pPr>
        <w:rPr>
          <w:rFonts w:cs="Arial"/>
          <w:lang w:eastAsia="ja-JP"/>
        </w:rPr>
      </w:pPr>
    </w:p>
    <w:p w14:paraId="4418542E" w14:textId="77777777" w:rsidR="00AD67B6" w:rsidRDefault="00325EC6" w:rsidP="00000C97">
      <w:pPr>
        <w:pStyle w:val="BodyText"/>
      </w:pPr>
      <w:r>
        <w:t xml:space="preserve">In our view, the agreement clearly </w:t>
      </w:r>
      <w:r w:rsidR="00000C97">
        <w:t>says that this configurability may only be applicable for SCells in intra-band CA</w:t>
      </w:r>
      <w:r w:rsidR="00AD67B6">
        <w:t>, hence that clearly excludes the spCell(s) (i.e. PCell and PSCell shall always be measured).</w:t>
      </w:r>
    </w:p>
    <w:p w14:paraId="1A32F00A" w14:textId="3ABBE30F" w:rsidR="00AD67B6" w:rsidRDefault="00AD67B6" w:rsidP="00AD67B6">
      <w:pPr>
        <w:pStyle w:val="Observation"/>
      </w:pPr>
      <w:r>
        <w:t>RAN4 agreement clearly talks about SCells, i.e., UE shall always measure PCell and PSCell at least.</w:t>
      </w:r>
    </w:p>
    <w:p w14:paraId="0D06AF60" w14:textId="6E34B7E0" w:rsidR="00000C97" w:rsidRDefault="00000C97" w:rsidP="00000C97">
      <w:pPr>
        <w:pStyle w:val="BodyText"/>
      </w:pPr>
      <w:r>
        <w:t>Even for that case, one could assume that each SCell would have its own MO, so if nothing is changed in the specification, the restriction would not be possible to configure. Hence, two approaches should be discussed in RAN2:</w:t>
      </w:r>
    </w:p>
    <w:p w14:paraId="0EA1CE9A" w14:textId="0FD01795" w:rsidR="00000C97" w:rsidRDefault="00000C97" w:rsidP="00000C97">
      <w:pPr>
        <w:pStyle w:val="BodyText"/>
        <w:numPr>
          <w:ilvl w:val="0"/>
          <w:numId w:val="22"/>
        </w:numPr>
      </w:pPr>
      <w:r>
        <w:t xml:space="preserve">Approach 1) Provide an explicit signalling (e.g. in </w:t>
      </w:r>
      <w:r w:rsidRPr="00000C97">
        <w:rPr>
          <w:i/>
        </w:rPr>
        <w:t>MeasObjectNR</w:t>
      </w:r>
      <w:r>
        <w:t xml:space="preserve"> or </w:t>
      </w:r>
      <w:r w:rsidRPr="00000C97">
        <w:rPr>
          <w:i/>
        </w:rPr>
        <w:t>ServingCellConfig</w:t>
      </w:r>
      <w:r>
        <w:t>) disabling measurements on a given frequency;</w:t>
      </w:r>
    </w:p>
    <w:p w14:paraId="256A2422" w14:textId="3EF0BE48" w:rsidR="00000C97" w:rsidRDefault="00000C97" w:rsidP="00000C97">
      <w:pPr>
        <w:pStyle w:val="BodyText"/>
        <w:numPr>
          <w:ilvl w:val="0"/>
          <w:numId w:val="22"/>
        </w:numPr>
      </w:pPr>
      <w:r>
        <w:lastRenderedPageBreak/>
        <w:t>Approach 2) Define an implicit rule where the UE identifies multiple MOs associated to SCells in intra-band CA so that the UE is not required to measure all the cells;</w:t>
      </w:r>
    </w:p>
    <w:p w14:paraId="11E3FBC3" w14:textId="232032DC" w:rsidR="00C9465E" w:rsidRDefault="00000C97" w:rsidP="00000C97">
      <w:pPr>
        <w:pStyle w:val="BodyText"/>
        <w:ind w:left="360"/>
      </w:pPr>
      <w:r>
        <w:t>In case approach 2) is feasible, it should be preferred by RAN2 as it would require fewer configuration from the network and specification impact.</w:t>
      </w:r>
    </w:p>
    <w:p w14:paraId="68370E55" w14:textId="4BCEB8F4" w:rsidR="00A51381" w:rsidRPr="00000C97" w:rsidRDefault="00000C97" w:rsidP="00A51381">
      <w:pPr>
        <w:pStyle w:val="Proposal"/>
      </w:pPr>
      <w:r>
        <w:t>Discuss whether an explicit signalling is needed to indicate MOs in intra-band CA.</w:t>
      </w:r>
    </w:p>
    <w:p w14:paraId="655270BD" w14:textId="183C3283" w:rsidR="003A7EF3" w:rsidRDefault="00A51381" w:rsidP="00CE0424">
      <w:pPr>
        <w:pStyle w:val="Heading1"/>
      </w:pPr>
      <w:bookmarkStart w:id="2" w:name="_In-sequence_SDU_delivery"/>
      <w:bookmarkEnd w:id="2"/>
      <w:r w:rsidRPr="00CE0424">
        <w:t>References</w:t>
      </w:r>
    </w:p>
    <w:p w14:paraId="57AE07F9" w14:textId="541D80B7" w:rsidR="00A51381" w:rsidRPr="00CE0424" w:rsidRDefault="00325EC6" w:rsidP="00000C97">
      <w:pPr>
        <w:pStyle w:val="Reference"/>
      </w:pPr>
      <w:bookmarkStart w:id="3" w:name="_Ref490258412"/>
      <w:r w:rsidRPr="00325EC6">
        <w:t>R4-1801307</w:t>
      </w:r>
      <w:r w:rsidR="00D24606">
        <w:t xml:space="preserve">, </w:t>
      </w:r>
      <w:r w:rsidRPr="00325EC6">
        <w:t>LS for intra-frequency measurement on NR SCell</w:t>
      </w:r>
      <w:r w:rsidR="00D24606">
        <w:t xml:space="preserve">, </w:t>
      </w:r>
      <w:bookmarkEnd w:id="3"/>
      <w:r>
        <w:t>3GPP TSG RAN WG2 Meeting #101, Athens.</w:t>
      </w:r>
    </w:p>
    <w:sectPr w:rsidR="00A51381"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483D4" w14:textId="77777777" w:rsidR="00885416" w:rsidRDefault="00885416">
      <w:r>
        <w:separator/>
      </w:r>
    </w:p>
  </w:endnote>
  <w:endnote w:type="continuationSeparator" w:id="0">
    <w:p w14:paraId="5B9CC302" w14:textId="77777777" w:rsidR="00885416" w:rsidRDefault="0088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8847" w14:textId="3986A6E5" w:rsidR="00325EC6" w:rsidRDefault="00325E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162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162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1C46A" w14:textId="77777777" w:rsidR="00885416" w:rsidRDefault="00885416">
      <w:r>
        <w:separator/>
      </w:r>
    </w:p>
  </w:footnote>
  <w:footnote w:type="continuationSeparator" w:id="0">
    <w:p w14:paraId="3905CBFE" w14:textId="77777777" w:rsidR="00885416" w:rsidRDefault="0088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C97B" w14:textId="77777777" w:rsidR="00325EC6" w:rsidRDefault="00325E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6A362F"/>
    <w:multiLevelType w:val="hybridMultilevel"/>
    <w:tmpl w:val="3C0E66B0"/>
    <w:lvl w:ilvl="0" w:tplc="2FC88A4E">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33E1E"/>
    <w:multiLevelType w:val="hybridMultilevel"/>
    <w:tmpl w:val="11D0C60C"/>
    <w:lvl w:ilvl="0" w:tplc="0A34B84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D7ADB"/>
    <w:multiLevelType w:val="hybridMultilevel"/>
    <w:tmpl w:val="0A723A06"/>
    <w:lvl w:ilvl="0" w:tplc="771C0730">
      <w:start w:val="1"/>
      <w:numFmt w:val="bullet"/>
      <w:lvlText w:val="•"/>
      <w:lvlJc w:val="left"/>
      <w:pPr>
        <w:tabs>
          <w:tab w:val="num" w:pos="720"/>
        </w:tabs>
        <w:ind w:left="720" w:hanging="360"/>
      </w:pPr>
      <w:rPr>
        <w:rFonts w:ascii="Arial" w:hAnsi="Arial" w:hint="default"/>
      </w:rPr>
    </w:lvl>
    <w:lvl w:ilvl="1" w:tplc="06A2B6F8">
      <w:start w:val="1105"/>
      <w:numFmt w:val="bullet"/>
      <w:lvlText w:val="–"/>
      <w:lvlJc w:val="left"/>
      <w:pPr>
        <w:tabs>
          <w:tab w:val="num" w:pos="1440"/>
        </w:tabs>
        <w:ind w:left="1440" w:hanging="360"/>
      </w:pPr>
      <w:rPr>
        <w:rFonts w:ascii="Arial" w:hAnsi="Arial" w:hint="default"/>
      </w:rPr>
    </w:lvl>
    <w:lvl w:ilvl="2" w:tplc="EE0246D4">
      <w:start w:val="1105"/>
      <w:numFmt w:val="bullet"/>
      <w:lvlText w:val="•"/>
      <w:lvlJc w:val="left"/>
      <w:pPr>
        <w:tabs>
          <w:tab w:val="num" w:pos="2160"/>
        </w:tabs>
        <w:ind w:left="2160" w:hanging="360"/>
      </w:pPr>
      <w:rPr>
        <w:rFonts w:ascii="Arial" w:hAnsi="Arial" w:hint="default"/>
      </w:rPr>
    </w:lvl>
    <w:lvl w:ilvl="3" w:tplc="994C808C" w:tentative="1">
      <w:start w:val="1"/>
      <w:numFmt w:val="bullet"/>
      <w:lvlText w:val="•"/>
      <w:lvlJc w:val="left"/>
      <w:pPr>
        <w:tabs>
          <w:tab w:val="num" w:pos="2880"/>
        </w:tabs>
        <w:ind w:left="2880" w:hanging="360"/>
      </w:pPr>
      <w:rPr>
        <w:rFonts w:ascii="Arial" w:hAnsi="Arial" w:hint="default"/>
      </w:rPr>
    </w:lvl>
    <w:lvl w:ilvl="4" w:tplc="DBD2AE5E" w:tentative="1">
      <w:start w:val="1"/>
      <w:numFmt w:val="bullet"/>
      <w:lvlText w:val="•"/>
      <w:lvlJc w:val="left"/>
      <w:pPr>
        <w:tabs>
          <w:tab w:val="num" w:pos="3600"/>
        </w:tabs>
        <w:ind w:left="3600" w:hanging="360"/>
      </w:pPr>
      <w:rPr>
        <w:rFonts w:ascii="Arial" w:hAnsi="Arial" w:hint="default"/>
      </w:rPr>
    </w:lvl>
    <w:lvl w:ilvl="5" w:tplc="CFCEC496" w:tentative="1">
      <w:start w:val="1"/>
      <w:numFmt w:val="bullet"/>
      <w:lvlText w:val="•"/>
      <w:lvlJc w:val="left"/>
      <w:pPr>
        <w:tabs>
          <w:tab w:val="num" w:pos="4320"/>
        </w:tabs>
        <w:ind w:left="4320" w:hanging="360"/>
      </w:pPr>
      <w:rPr>
        <w:rFonts w:ascii="Arial" w:hAnsi="Arial" w:hint="default"/>
      </w:rPr>
    </w:lvl>
    <w:lvl w:ilvl="6" w:tplc="4C68BFE4" w:tentative="1">
      <w:start w:val="1"/>
      <w:numFmt w:val="bullet"/>
      <w:lvlText w:val="•"/>
      <w:lvlJc w:val="left"/>
      <w:pPr>
        <w:tabs>
          <w:tab w:val="num" w:pos="5040"/>
        </w:tabs>
        <w:ind w:left="5040" w:hanging="360"/>
      </w:pPr>
      <w:rPr>
        <w:rFonts w:ascii="Arial" w:hAnsi="Arial" w:hint="default"/>
      </w:rPr>
    </w:lvl>
    <w:lvl w:ilvl="7" w:tplc="05B2E740" w:tentative="1">
      <w:start w:val="1"/>
      <w:numFmt w:val="bullet"/>
      <w:lvlText w:val="•"/>
      <w:lvlJc w:val="left"/>
      <w:pPr>
        <w:tabs>
          <w:tab w:val="num" w:pos="5760"/>
        </w:tabs>
        <w:ind w:left="5760" w:hanging="360"/>
      </w:pPr>
      <w:rPr>
        <w:rFonts w:ascii="Arial" w:hAnsi="Arial" w:hint="default"/>
      </w:rPr>
    </w:lvl>
    <w:lvl w:ilvl="8" w:tplc="07127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7130DC9"/>
    <w:multiLevelType w:val="hybridMultilevel"/>
    <w:tmpl w:val="C8700A80"/>
    <w:lvl w:ilvl="0" w:tplc="4D34289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22"/>
  </w:num>
  <w:num w:numId="17">
    <w:abstractNumId w:val="16"/>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20"/>
  </w:num>
  <w:num w:numId="2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A6"/>
    <w:rsid w:val="000006E1"/>
    <w:rsid w:val="00000C97"/>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7117"/>
    <w:rsid w:val="0006032F"/>
    <w:rsid w:val="000616E7"/>
    <w:rsid w:val="0006487E"/>
    <w:rsid w:val="00065E1A"/>
    <w:rsid w:val="000665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B3E"/>
    <w:rsid w:val="000C165A"/>
    <w:rsid w:val="000C2E19"/>
    <w:rsid w:val="000D0D07"/>
    <w:rsid w:val="000D1125"/>
    <w:rsid w:val="000D4797"/>
    <w:rsid w:val="000E0527"/>
    <w:rsid w:val="000E1E92"/>
    <w:rsid w:val="000F06D6"/>
    <w:rsid w:val="000F0EB1"/>
    <w:rsid w:val="000F1106"/>
    <w:rsid w:val="000F1DB2"/>
    <w:rsid w:val="000F3BE9"/>
    <w:rsid w:val="000F3F6C"/>
    <w:rsid w:val="000F6DF3"/>
    <w:rsid w:val="001005FF"/>
    <w:rsid w:val="00106083"/>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631"/>
    <w:rsid w:val="00137AB5"/>
    <w:rsid w:val="00137F0B"/>
    <w:rsid w:val="001463E4"/>
    <w:rsid w:val="00151E23"/>
    <w:rsid w:val="001526E0"/>
    <w:rsid w:val="001551B5"/>
    <w:rsid w:val="00155EDB"/>
    <w:rsid w:val="001659C1"/>
    <w:rsid w:val="00173A8E"/>
    <w:rsid w:val="00177795"/>
    <w:rsid w:val="0018143F"/>
    <w:rsid w:val="00190AC1"/>
    <w:rsid w:val="0019341A"/>
    <w:rsid w:val="00197DF9"/>
    <w:rsid w:val="001A0A3F"/>
    <w:rsid w:val="001A1987"/>
    <w:rsid w:val="001A2564"/>
    <w:rsid w:val="001A6173"/>
    <w:rsid w:val="001A6CBA"/>
    <w:rsid w:val="001B0D97"/>
    <w:rsid w:val="001B5A5D"/>
    <w:rsid w:val="001B64A6"/>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6227"/>
    <w:rsid w:val="00296F44"/>
    <w:rsid w:val="0029777D"/>
    <w:rsid w:val="002A055E"/>
    <w:rsid w:val="002A1D4E"/>
    <w:rsid w:val="002A2869"/>
    <w:rsid w:val="002A4D0F"/>
    <w:rsid w:val="002B24D6"/>
    <w:rsid w:val="002C1F85"/>
    <w:rsid w:val="002C41E6"/>
    <w:rsid w:val="002D071A"/>
    <w:rsid w:val="002D1F02"/>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03E"/>
    <w:rsid w:val="00313FD6"/>
    <w:rsid w:val="003143BD"/>
    <w:rsid w:val="003203ED"/>
    <w:rsid w:val="00322C9F"/>
    <w:rsid w:val="00324D23"/>
    <w:rsid w:val="00325EC6"/>
    <w:rsid w:val="00331751"/>
    <w:rsid w:val="003334E4"/>
    <w:rsid w:val="00334579"/>
    <w:rsid w:val="00335858"/>
    <w:rsid w:val="00336BDA"/>
    <w:rsid w:val="00342BD7"/>
    <w:rsid w:val="00343A07"/>
    <w:rsid w:val="00346DB5"/>
    <w:rsid w:val="003477B1"/>
    <w:rsid w:val="00353555"/>
    <w:rsid w:val="00357380"/>
    <w:rsid w:val="003602D9"/>
    <w:rsid w:val="003604CE"/>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E0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42C3"/>
    <w:rsid w:val="004669E2"/>
    <w:rsid w:val="00470C31"/>
    <w:rsid w:val="0047281A"/>
    <w:rsid w:val="004734D0"/>
    <w:rsid w:val="0047556B"/>
    <w:rsid w:val="00477768"/>
    <w:rsid w:val="00492BC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6970"/>
    <w:rsid w:val="00554E19"/>
    <w:rsid w:val="005607E1"/>
    <w:rsid w:val="0056121F"/>
    <w:rsid w:val="00572505"/>
    <w:rsid w:val="00582809"/>
    <w:rsid w:val="0058798C"/>
    <w:rsid w:val="005900FA"/>
    <w:rsid w:val="00591177"/>
    <w:rsid w:val="005935A4"/>
    <w:rsid w:val="005948C2"/>
    <w:rsid w:val="00595DCA"/>
    <w:rsid w:val="0059779B"/>
    <w:rsid w:val="005A209A"/>
    <w:rsid w:val="005A31CB"/>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1047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F49"/>
    <w:rsid w:val="00643475"/>
    <w:rsid w:val="0064396A"/>
    <w:rsid w:val="0064624E"/>
    <w:rsid w:val="00650AB9"/>
    <w:rsid w:val="006515D5"/>
    <w:rsid w:val="00655733"/>
    <w:rsid w:val="00655ACD"/>
    <w:rsid w:val="00656A92"/>
    <w:rsid w:val="00656DDE"/>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75C"/>
    <w:rsid w:val="006B50CF"/>
    <w:rsid w:val="006C03B8"/>
    <w:rsid w:val="006C5EC9"/>
    <w:rsid w:val="006C6059"/>
    <w:rsid w:val="006C7522"/>
    <w:rsid w:val="006D2A3B"/>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46F"/>
    <w:rsid w:val="00712287"/>
    <w:rsid w:val="00712772"/>
    <w:rsid w:val="007148D3"/>
    <w:rsid w:val="00715466"/>
    <w:rsid w:val="00715B9A"/>
    <w:rsid w:val="00726EA6"/>
    <w:rsid w:val="00727208"/>
    <w:rsid w:val="00727680"/>
    <w:rsid w:val="007329B3"/>
    <w:rsid w:val="007348B1"/>
    <w:rsid w:val="007362A6"/>
    <w:rsid w:val="00736D7D"/>
    <w:rsid w:val="00740E58"/>
    <w:rsid w:val="007445A0"/>
    <w:rsid w:val="0074524B"/>
    <w:rsid w:val="00747D8B"/>
    <w:rsid w:val="00751228"/>
    <w:rsid w:val="00754AE6"/>
    <w:rsid w:val="007571E1"/>
    <w:rsid w:val="007604B2"/>
    <w:rsid w:val="00765281"/>
    <w:rsid w:val="00766BAD"/>
    <w:rsid w:val="0077214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A43"/>
    <w:rsid w:val="007E4610"/>
    <w:rsid w:val="007E4715"/>
    <w:rsid w:val="007E505B"/>
    <w:rsid w:val="007E6122"/>
    <w:rsid w:val="007E7091"/>
    <w:rsid w:val="00803FAE"/>
    <w:rsid w:val="0080605F"/>
    <w:rsid w:val="00807786"/>
    <w:rsid w:val="00811FCB"/>
    <w:rsid w:val="008158D6"/>
    <w:rsid w:val="00817196"/>
    <w:rsid w:val="008235DB"/>
    <w:rsid w:val="00824AB4"/>
    <w:rsid w:val="00825C42"/>
    <w:rsid w:val="00825D25"/>
    <w:rsid w:val="00827D6F"/>
    <w:rsid w:val="00830BDA"/>
    <w:rsid w:val="008376AC"/>
    <w:rsid w:val="008407E6"/>
    <w:rsid w:val="008444E8"/>
    <w:rsid w:val="00844E80"/>
    <w:rsid w:val="008465A0"/>
    <w:rsid w:val="00846FE7"/>
    <w:rsid w:val="00854F97"/>
    <w:rsid w:val="00856911"/>
    <w:rsid w:val="00856D4D"/>
    <w:rsid w:val="008646AD"/>
    <w:rsid w:val="00866E99"/>
    <w:rsid w:val="008677FD"/>
    <w:rsid w:val="008706D4"/>
    <w:rsid w:val="00870F8A"/>
    <w:rsid w:val="008719A4"/>
    <w:rsid w:val="00871D23"/>
    <w:rsid w:val="008741FC"/>
    <w:rsid w:val="00874312"/>
    <w:rsid w:val="0087437C"/>
    <w:rsid w:val="00875CD7"/>
    <w:rsid w:val="00876B4D"/>
    <w:rsid w:val="00877F18"/>
    <w:rsid w:val="00880998"/>
    <w:rsid w:val="00883813"/>
    <w:rsid w:val="0088541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3D"/>
    <w:rsid w:val="009F344F"/>
    <w:rsid w:val="00A03BCE"/>
    <w:rsid w:val="00A048A8"/>
    <w:rsid w:val="00A04F49"/>
    <w:rsid w:val="00A1162F"/>
    <w:rsid w:val="00A13E54"/>
    <w:rsid w:val="00A17F63"/>
    <w:rsid w:val="00A2052C"/>
    <w:rsid w:val="00A2193B"/>
    <w:rsid w:val="00A2351A"/>
    <w:rsid w:val="00A264A9"/>
    <w:rsid w:val="00A27785"/>
    <w:rsid w:val="00A27CEC"/>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7B6"/>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5CBE"/>
    <w:rsid w:val="00B372AA"/>
    <w:rsid w:val="00B40445"/>
    <w:rsid w:val="00B41888"/>
    <w:rsid w:val="00B45A52"/>
    <w:rsid w:val="00B46175"/>
    <w:rsid w:val="00B6188F"/>
    <w:rsid w:val="00B664C7"/>
    <w:rsid w:val="00B707F5"/>
    <w:rsid w:val="00B739F6"/>
    <w:rsid w:val="00B8119A"/>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48AC"/>
    <w:rsid w:val="00BD5F1A"/>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2107"/>
    <w:rsid w:val="00C13671"/>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65E"/>
    <w:rsid w:val="00C95B40"/>
    <w:rsid w:val="00CA1ED8"/>
    <w:rsid w:val="00CB1F63"/>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2460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AE8"/>
    <w:rsid w:val="00D86CA3"/>
    <w:rsid w:val="00D871CE"/>
    <w:rsid w:val="00D9196D"/>
    <w:rsid w:val="00D92982"/>
    <w:rsid w:val="00DA305E"/>
    <w:rsid w:val="00DA5417"/>
    <w:rsid w:val="00DA56E8"/>
    <w:rsid w:val="00DB0A9F"/>
    <w:rsid w:val="00DB377D"/>
    <w:rsid w:val="00DC2D36"/>
    <w:rsid w:val="00DC2DA4"/>
    <w:rsid w:val="00DC53EF"/>
    <w:rsid w:val="00DE5608"/>
    <w:rsid w:val="00DE58D0"/>
    <w:rsid w:val="00DE654F"/>
    <w:rsid w:val="00DF0B6E"/>
    <w:rsid w:val="00DF15E0"/>
    <w:rsid w:val="00DF37A0"/>
    <w:rsid w:val="00E110E7"/>
    <w:rsid w:val="00E11B20"/>
    <w:rsid w:val="00E17FA2"/>
    <w:rsid w:val="00E22330"/>
    <w:rsid w:val="00E24505"/>
    <w:rsid w:val="00E2672F"/>
    <w:rsid w:val="00E2747D"/>
    <w:rsid w:val="00E30B5A"/>
    <w:rsid w:val="00E3123D"/>
    <w:rsid w:val="00E31461"/>
    <w:rsid w:val="00E31D43"/>
    <w:rsid w:val="00E32608"/>
    <w:rsid w:val="00E34188"/>
    <w:rsid w:val="00E34B6E"/>
    <w:rsid w:val="00E35559"/>
    <w:rsid w:val="00E3723A"/>
    <w:rsid w:val="00E37860"/>
    <w:rsid w:val="00E379E8"/>
    <w:rsid w:val="00E446F1"/>
    <w:rsid w:val="00E46886"/>
    <w:rsid w:val="00E47AEF"/>
    <w:rsid w:val="00E53B75"/>
    <w:rsid w:val="00E54E3B"/>
    <w:rsid w:val="00E57565"/>
    <w:rsid w:val="00E61C8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308"/>
    <w:rsid w:val="00EF5787"/>
    <w:rsid w:val="00EF60D0"/>
    <w:rsid w:val="00EF62D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7F34"/>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7429"/>
    <w:rsid w:val="00FD07F6"/>
    <w:rsid w:val="00FD1EC8"/>
    <w:rsid w:val="00FD31F7"/>
    <w:rsid w:val="00FD47ED"/>
    <w:rsid w:val="00FD74DB"/>
    <w:rsid w:val="00FD7660"/>
    <w:rsid w:val="00FE0655"/>
    <w:rsid w:val="00FE2365"/>
    <w:rsid w:val="00FE4C7B"/>
    <w:rsid w:val="00FE7336"/>
    <w:rsid w:val="00FE787C"/>
    <w:rsid w:val="00FF45A5"/>
    <w:rsid w:val="00FF5C91"/>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5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15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15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15D5"/>
    <w:pPr>
      <w:numPr>
        <w:ilvl w:val="2"/>
      </w:numPr>
      <w:spacing w:before="120"/>
      <w:outlineLvl w:val="2"/>
    </w:pPr>
    <w:rPr>
      <w:sz w:val="28"/>
      <w:szCs w:val="28"/>
    </w:rPr>
  </w:style>
  <w:style w:type="paragraph" w:styleId="Heading4">
    <w:name w:val="heading 4"/>
    <w:basedOn w:val="Heading3"/>
    <w:next w:val="Normal"/>
    <w:qFormat/>
    <w:rsid w:val="006515D5"/>
    <w:pPr>
      <w:numPr>
        <w:ilvl w:val="3"/>
      </w:numPr>
      <w:outlineLvl w:val="3"/>
    </w:pPr>
    <w:rPr>
      <w:sz w:val="24"/>
      <w:szCs w:val="24"/>
    </w:rPr>
  </w:style>
  <w:style w:type="paragraph" w:styleId="Heading5">
    <w:name w:val="heading 5"/>
    <w:basedOn w:val="Heading4"/>
    <w:next w:val="Normal"/>
    <w:qFormat/>
    <w:rsid w:val="006515D5"/>
    <w:pPr>
      <w:numPr>
        <w:ilvl w:val="4"/>
      </w:numPr>
      <w:outlineLvl w:val="4"/>
    </w:pPr>
    <w:rPr>
      <w:sz w:val="22"/>
      <w:szCs w:val="22"/>
    </w:rPr>
  </w:style>
  <w:style w:type="paragraph" w:styleId="Heading6">
    <w:name w:val="heading 6"/>
    <w:basedOn w:val="Normal"/>
    <w:next w:val="Normal"/>
    <w:qFormat/>
    <w:rsid w:val="006515D5"/>
    <w:pPr>
      <w:keepNext/>
      <w:keepLines/>
      <w:numPr>
        <w:ilvl w:val="5"/>
        <w:numId w:val="1"/>
      </w:numPr>
      <w:spacing w:before="120"/>
      <w:outlineLvl w:val="5"/>
    </w:pPr>
    <w:rPr>
      <w:rFonts w:cs="Arial"/>
    </w:rPr>
  </w:style>
  <w:style w:type="paragraph" w:styleId="Heading7">
    <w:name w:val="heading 7"/>
    <w:basedOn w:val="Normal"/>
    <w:next w:val="Normal"/>
    <w:qFormat/>
    <w:rsid w:val="006515D5"/>
    <w:pPr>
      <w:keepNext/>
      <w:keepLines/>
      <w:numPr>
        <w:ilvl w:val="6"/>
        <w:numId w:val="1"/>
      </w:numPr>
      <w:spacing w:before="120"/>
      <w:outlineLvl w:val="6"/>
    </w:pPr>
    <w:rPr>
      <w:rFonts w:cs="Arial"/>
    </w:rPr>
  </w:style>
  <w:style w:type="paragraph" w:styleId="Heading8">
    <w:name w:val="heading 8"/>
    <w:basedOn w:val="Heading7"/>
    <w:next w:val="Normal"/>
    <w:qFormat/>
    <w:rsid w:val="006515D5"/>
    <w:pPr>
      <w:numPr>
        <w:ilvl w:val="7"/>
      </w:numPr>
      <w:outlineLvl w:val="7"/>
    </w:pPr>
  </w:style>
  <w:style w:type="paragraph" w:styleId="Heading9">
    <w:name w:val="heading 9"/>
    <w:basedOn w:val="Heading8"/>
    <w:next w:val="Normal"/>
    <w:qFormat/>
    <w:rsid w:val="006515D5"/>
    <w:pPr>
      <w:numPr>
        <w:ilvl w:val="8"/>
      </w:numPr>
      <w:outlineLvl w:val="8"/>
    </w:pPr>
  </w:style>
  <w:style w:type="character" w:default="1" w:styleId="DefaultParagraphFont">
    <w:name w:val="Default Paragraph Font"/>
    <w:uiPriority w:val="1"/>
    <w:semiHidden/>
    <w:unhideWhenUsed/>
    <w:rsid w:val="00651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5D5"/>
  </w:style>
  <w:style w:type="paragraph" w:styleId="TOC8">
    <w:name w:val="toc 8"/>
    <w:basedOn w:val="TOC1"/>
    <w:semiHidden/>
    <w:rsid w:val="006515D5"/>
    <w:pPr>
      <w:spacing w:before="180"/>
      <w:ind w:left="2693" w:hanging="2693"/>
    </w:pPr>
    <w:rPr>
      <w:b w:val="0"/>
      <w:bCs/>
    </w:rPr>
  </w:style>
  <w:style w:type="paragraph" w:styleId="TOC1">
    <w:name w:val="toc 1"/>
    <w:aliases w:val="Observation TOC2"/>
    <w:uiPriority w:val="39"/>
    <w:rsid w:val="006515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15D5"/>
    <w:pPr>
      <w:keepNext/>
      <w:keepLines/>
      <w:spacing w:before="180"/>
      <w:jc w:val="center"/>
    </w:pPr>
  </w:style>
  <w:style w:type="paragraph" w:styleId="Caption">
    <w:name w:val="caption"/>
    <w:basedOn w:val="Normal"/>
    <w:next w:val="Normal"/>
    <w:qFormat/>
    <w:rsid w:val="006515D5"/>
    <w:pPr>
      <w:spacing w:after="240"/>
      <w:jc w:val="center"/>
    </w:pPr>
    <w:rPr>
      <w:b/>
      <w:bCs/>
    </w:rPr>
  </w:style>
  <w:style w:type="paragraph" w:styleId="TOC5">
    <w:name w:val="toc 5"/>
    <w:aliases w:val="Observation TOC"/>
    <w:basedOn w:val="TOC4"/>
    <w:semiHidden/>
    <w:rsid w:val="006515D5"/>
    <w:pPr>
      <w:tabs>
        <w:tab w:val="right" w:pos="1701"/>
      </w:tabs>
      <w:ind w:left="1701" w:hanging="1701"/>
    </w:pPr>
  </w:style>
  <w:style w:type="paragraph" w:styleId="TOC4">
    <w:name w:val="toc 4"/>
    <w:basedOn w:val="TOC3"/>
    <w:semiHidden/>
    <w:rsid w:val="006515D5"/>
    <w:pPr>
      <w:ind w:left="1418" w:hanging="1418"/>
    </w:pPr>
  </w:style>
  <w:style w:type="paragraph" w:styleId="TOC3">
    <w:name w:val="toc 3"/>
    <w:basedOn w:val="TOC2"/>
    <w:semiHidden/>
    <w:rsid w:val="006515D5"/>
    <w:pPr>
      <w:ind w:left="1134" w:hanging="1134"/>
    </w:pPr>
  </w:style>
  <w:style w:type="paragraph" w:styleId="TOC2">
    <w:name w:val="toc 2"/>
    <w:basedOn w:val="TOC1"/>
    <w:semiHidden/>
    <w:rsid w:val="006515D5"/>
    <w:pPr>
      <w:keepNext w:val="0"/>
      <w:spacing w:before="0"/>
      <w:ind w:left="851" w:hanging="851"/>
    </w:pPr>
    <w:rPr>
      <w:szCs w:val="20"/>
    </w:rPr>
  </w:style>
  <w:style w:type="paragraph" w:styleId="Index2">
    <w:name w:val="index 2"/>
    <w:basedOn w:val="Index1"/>
    <w:semiHidden/>
    <w:rsid w:val="006515D5"/>
    <w:pPr>
      <w:ind w:left="284"/>
    </w:pPr>
  </w:style>
  <w:style w:type="paragraph" w:styleId="Index1">
    <w:name w:val="index 1"/>
    <w:basedOn w:val="Normal"/>
    <w:semiHidden/>
    <w:rsid w:val="006515D5"/>
    <w:pPr>
      <w:keepLines/>
      <w:spacing w:after="0"/>
    </w:pPr>
  </w:style>
  <w:style w:type="paragraph" w:styleId="DocumentMap">
    <w:name w:val="Document Map"/>
    <w:basedOn w:val="Normal"/>
    <w:semiHidden/>
    <w:rsid w:val="006515D5"/>
    <w:pPr>
      <w:shd w:val="clear" w:color="auto" w:fill="000080"/>
    </w:pPr>
    <w:rPr>
      <w:rFonts w:ascii="Tahoma" w:hAnsi="Tahoma" w:cs="Tahoma"/>
    </w:rPr>
  </w:style>
  <w:style w:type="paragraph" w:styleId="ListNumber2">
    <w:name w:val="List Number 2"/>
    <w:basedOn w:val="ListNumber"/>
    <w:rsid w:val="006515D5"/>
    <w:pPr>
      <w:ind w:left="851"/>
    </w:pPr>
  </w:style>
  <w:style w:type="paragraph" w:styleId="ListNumber">
    <w:name w:val="List Number"/>
    <w:basedOn w:val="List"/>
    <w:rsid w:val="006515D5"/>
  </w:style>
  <w:style w:type="paragraph" w:styleId="List">
    <w:name w:val="List"/>
    <w:basedOn w:val="Normal"/>
    <w:rsid w:val="006515D5"/>
    <w:pPr>
      <w:ind w:left="568" w:hanging="284"/>
    </w:pPr>
  </w:style>
  <w:style w:type="paragraph" w:styleId="Header">
    <w:name w:val="header"/>
    <w:rsid w:val="006515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15D5"/>
    <w:rPr>
      <w:b/>
      <w:bCs/>
      <w:position w:val="6"/>
      <w:sz w:val="16"/>
      <w:szCs w:val="16"/>
    </w:rPr>
  </w:style>
  <w:style w:type="paragraph" w:styleId="FootnoteText">
    <w:name w:val="footnote text"/>
    <w:basedOn w:val="Normal"/>
    <w:semiHidden/>
    <w:rsid w:val="006515D5"/>
    <w:pPr>
      <w:keepLines/>
      <w:spacing w:after="0"/>
      <w:ind w:left="454" w:hanging="454"/>
    </w:pPr>
    <w:rPr>
      <w:sz w:val="16"/>
      <w:szCs w:val="16"/>
    </w:rPr>
  </w:style>
  <w:style w:type="paragraph" w:customStyle="1" w:styleId="3GPPHeader">
    <w:name w:val="3GPP_Header"/>
    <w:basedOn w:val="Normal"/>
    <w:rsid w:val="006515D5"/>
    <w:pPr>
      <w:tabs>
        <w:tab w:val="left" w:pos="1701"/>
        <w:tab w:val="right" w:pos="9639"/>
      </w:tabs>
      <w:spacing w:after="240"/>
    </w:pPr>
    <w:rPr>
      <w:b/>
      <w:sz w:val="24"/>
    </w:rPr>
  </w:style>
  <w:style w:type="paragraph" w:styleId="TOC9">
    <w:name w:val="toc 9"/>
    <w:basedOn w:val="TOC8"/>
    <w:semiHidden/>
    <w:rsid w:val="006515D5"/>
    <w:pPr>
      <w:ind w:left="1418" w:hanging="1418"/>
    </w:pPr>
  </w:style>
  <w:style w:type="paragraph" w:styleId="TOC6">
    <w:name w:val="toc 6"/>
    <w:basedOn w:val="TOC5"/>
    <w:next w:val="Normal"/>
    <w:semiHidden/>
    <w:rsid w:val="006515D5"/>
    <w:pPr>
      <w:ind w:left="1985" w:hanging="1985"/>
    </w:pPr>
  </w:style>
  <w:style w:type="paragraph" w:styleId="TOC7">
    <w:name w:val="toc 7"/>
    <w:basedOn w:val="TOC6"/>
    <w:next w:val="Normal"/>
    <w:semiHidden/>
    <w:rsid w:val="006515D5"/>
    <w:pPr>
      <w:ind w:left="2268" w:hanging="2268"/>
    </w:pPr>
  </w:style>
  <w:style w:type="paragraph" w:styleId="ListBullet2">
    <w:name w:val="List Bullet 2"/>
    <w:basedOn w:val="ListBullet"/>
    <w:rsid w:val="006515D5"/>
    <w:pPr>
      <w:numPr>
        <w:numId w:val="6"/>
      </w:numPr>
    </w:pPr>
  </w:style>
  <w:style w:type="paragraph" w:styleId="ListBullet">
    <w:name w:val="List Bullet"/>
    <w:basedOn w:val="BodyText"/>
    <w:rsid w:val="006515D5"/>
    <w:pPr>
      <w:numPr>
        <w:numId w:val="5"/>
      </w:numPr>
    </w:pPr>
  </w:style>
  <w:style w:type="paragraph" w:styleId="ListBullet3">
    <w:name w:val="List Bullet 3"/>
    <w:basedOn w:val="ListBullet2"/>
    <w:rsid w:val="006515D5"/>
    <w:pPr>
      <w:numPr>
        <w:numId w:val="7"/>
      </w:numPr>
    </w:pPr>
  </w:style>
  <w:style w:type="paragraph" w:customStyle="1" w:styleId="EQ">
    <w:name w:val="EQ"/>
    <w:basedOn w:val="Normal"/>
    <w:next w:val="Normal"/>
    <w:rsid w:val="006515D5"/>
    <w:pPr>
      <w:keepLines/>
      <w:tabs>
        <w:tab w:val="center" w:pos="4536"/>
        <w:tab w:val="right" w:pos="9072"/>
      </w:tabs>
      <w:spacing w:after="180"/>
      <w:jc w:val="left"/>
    </w:pPr>
    <w:rPr>
      <w:noProof/>
      <w:lang w:eastAsia="en-US"/>
    </w:rPr>
  </w:style>
  <w:style w:type="paragraph" w:styleId="List2">
    <w:name w:val="List 2"/>
    <w:basedOn w:val="List"/>
    <w:rsid w:val="006515D5"/>
    <w:pPr>
      <w:ind w:left="851"/>
    </w:pPr>
  </w:style>
  <w:style w:type="paragraph" w:styleId="List3">
    <w:name w:val="List 3"/>
    <w:basedOn w:val="List2"/>
    <w:rsid w:val="006515D5"/>
    <w:pPr>
      <w:ind w:left="1135"/>
    </w:pPr>
  </w:style>
  <w:style w:type="paragraph" w:styleId="List4">
    <w:name w:val="List 4"/>
    <w:basedOn w:val="List3"/>
    <w:rsid w:val="006515D5"/>
    <w:pPr>
      <w:ind w:left="1418"/>
    </w:pPr>
  </w:style>
  <w:style w:type="paragraph" w:styleId="List5">
    <w:name w:val="List 5"/>
    <w:basedOn w:val="List4"/>
    <w:rsid w:val="006515D5"/>
    <w:pPr>
      <w:ind w:left="1702"/>
    </w:pPr>
  </w:style>
  <w:style w:type="paragraph" w:customStyle="1" w:styleId="EditorsNote">
    <w:name w:val="Editor's Note"/>
    <w:basedOn w:val="Normal"/>
    <w:rsid w:val="006515D5"/>
    <w:pPr>
      <w:keepLines/>
      <w:spacing w:after="180"/>
      <w:ind w:left="1135" w:hanging="851"/>
      <w:jc w:val="left"/>
    </w:pPr>
    <w:rPr>
      <w:color w:val="FF0000"/>
      <w:lang w:eastAsia="en-US"/>
    </w:rPr>
  </w:style>
  <w:style w:type="paragraph" w:styleId="ListBullet4">
    <w:name w:val="List Bullet 4"/>
    <w:basedOn w:val="ListBullet3"/>
    <w:rsid w:val="006515D5"/>
    <w:pPr>
      <w:numPr>
        <w:numId w:val="8"/>
      </w:numPr>
    </w:pPr>
  </w:style>
  <w:style w:type="paragraph" w:styleId="ListBullet5">
    <w:name w:val="List Bullet 5"/>
    <w:basedOn w:val="ListBullet4"/>
    <w:rsid w:val="006515D5"/>
    <w:pPr>
      <w:numPr>
        <w:numId w:val="4"/>
      </w:numPr>
    </w:pPr>
  </w:style>
  <w:style w:type="paragraph" w:styleId="Footer">
    <w:name w:val="footer"/>
    <w:basedOn w:val="Header"/>
    <w:semiHidden/>
    <w:rsid w:val="006515D5"/>
    <w:pPr>
      <w:jc w:val="center"/>
    </w:pPr>
    <w:rPr>
      <w:i/>
      <w:iCs/>
    </w:rPr>
  </w:style>
  <w:style w:type="paragraph" w:customStyle="1" w:styleId="Reference">
    <w:name w:val="Reference"/>
    <w:basedOn w:val="Normal"/>
    <w:rsid w:val="006515D5"/>
    <w:pPr>
      <w:numPr>
        <w:numId w:val="2"/>
      </w:numPr>
    </w:pPr>
  </w:style>
  <w:style w:type="paragraph" w:styleId="BalloonText">
    <w:name w:val="Balloon Text"/>
    <w:basedOn w:val="Normal"/>
    <w:semiHidden/>
    <w:rsid w:val="006515D5"/>
    <w:rPr>
      <w:rFonts w:ascii="Tahoma" w:hAnsi="Tahoma" w:cs="Tahoma"/>
      <w:sz w:val="16"/>
      <w:szCs w:val="16"/>
    </w:rPr>
  </w:style>
  <w:style w:type="character" w:styleId="PageNumber">
    <w:name w:val="page number"/>
    <w:basedOn w:val="DefaultParagraphFont"/>
    <w:semiHidden/>
    <w:rsid w:val="006515D5"/>
  </w:style>
  <w:style w:type="paragraph" w:styleId="BodyText">
    <w:name w:val="Body Text"/>
    <w:basedOn w:val="Normal"/>
    <w:link w:val="BodyTextChar"/>
    <w:rsid w:val="006515D5"/>
  </w:style>
  <w:style w:type="character" w:styleId="Hyperlink">
    <w:name w:val="Hyperlink"/>
    <w:uiPriority w:val="99"/>
    <w:rsid w:val="006515D5"/>
    <w:rPr>
      <w:color w:val="0000FF"/>
      <w:u w:val="single"/>
      <w:lang w:val="en-GB"/>
    </w:rPr>
  </w:style>
  <w:style w:type="character" w:styleId="FollowedHyperlink">
    <w:name w:val="FollowedHyperlink"/>
    <w:semiHidden/>
    <w:rsid w:val="006515D5"/>
    <w:rPr>
      <w:color w:val="FF0000"/>
      <w:u w:val="single"/>
    </w:rPr>
  </w:style>
  <w:style w:type="character" w:styleId="CommentReference">
    <w:name w:val="annotation reference"/>
    <w:semiHidden/>
    <w:rsid w:val="006515D5"/>
    <w:rPr>
      <w:sz w:val="16"/>
      <w:szCs w:val="16"/>
    </w:rPr>
  </w:style>
  <w:style w:type="paragraph" w:styleId="CommentText">
    <w:name w:val="annotation text"/>
    <w:basedOn w:val="Normal"/>
    <w:semiHidden/>
    <w:rsid w:val="006515D5"/>
  </w:style>
  <w:style w:type="paragraph" w:styleId="CommentSubject">
    <w:name w:val="annotation subject"/>
    <w:basedOn w:val="CommentText"/>
    <w:next w:val="CommentText"/>
    <w:semiHidden/>
    <w:rsid w:val="006515D5"/>
    <w:rPr>
      <w:b/>
      <w:bCs/>
    </w:rPr>
  </w:style>
  <w:style w:type="character" w:customStyle="1" w:styleId="Heading1Char">
    <w:name w:val="Heading 1 Char"/>
    <w:link w:val="Heading1"/>
    <w:rsid w:val="006515D5"/>
    <w:rPr>
      <w:rFonts w:ascii="Arial" w:hAnsi="Arial" w:cs="Arial"/>
      <w:sz w:val="36"/>
      <w:szCs w:val="36"/>
      <w:lang w:val="en-GB" w:eastAsia="zh-CN"/>
    </w:rPr>
  </w:style>
  <w:style w:type="paragraph" w:customStyle="1" w:styleId="B1">
    <w:name w:val="B1"/>
    <w:basedOn w:val="List"/>
    <w:link w:val="B1Char1"/>
    <w:rsid w:val="006515D5"/>
    <w:pPr>
      <w:spacing w:after="180"/>
      <w:jc w:val="left"/>
    </w:pPr>
    <w:rPr>
      <w:lang w:eastAsia="en-US"/>
    </w:rPr>
  </w:style>
  <w:style w:type="paragraph" w:customStyle="1" w:styleId="B2">
    <w:name w:val="B2"/>
    <w:basedOn w:val="List2"/>
    <w:rsid w:val="006515D5"/>
    <w:pPr>
      <w:spacing w:after="180"/>
      <w:jc w:val="left"/>
    </w:pPr>
    <w:rPr>
      <w:lang w:eastAsia="en-US"/>
    </w:rPr>
  </w:style>
  <w:style w:type="paragraph" w:customStyle="1" w:styleId="B3">
    <w:name w:val="B3"/>
    <w:basedOn w:val="List3"/>
    <w:rsid w:val="006515D5"/>
    <w:pPr>
      <w:spacing w:after="180"/>
      <w:jc w:val="left"/>
    </w:pPr>
    <w:rPr>
      <w:lang w:eastAsia="en-US"/>
    </w:rPr>
  </w:style>
  <w:style w:type="paragraph" w:customStyle="1" w:styleId="B4">
    <w:name w:val="B4"/>
    <w:basedOn w:val="List4"/>
    <w:rsid w:val="006515D5"/>
    <w:pPr>
      <w:spacing w:after="180"/>
      <w:jc w:val="left"/>
    </w:pPr>
    <w:rPr>
      <w:lang w:eastAsia="en-US"/>
    </w:rPr>
  </w:style>
  <w:style w:type="paragraph" w:customStyle="1" w:styleId="Proposal">
    <w:name w:val="Proposal"/>
    <w:basedOn w:val="Normal"/>
    <w:rsid w:val="006515D5"/>
    <w:pPr>
      <w:numPr>
        <w:numId w:val="3"/>
      </w:numPr>
      <w:tabs>
        <w:tab w:val="clear" w:pos="1304"/>
        <w:tab w:val="left" w:pos="1701"/>
      </w:tabs>
      <w:ind w:left="1701" w:hanging="1701"/>
    </w:pPr>
    <w:rPr>
      <w:b/>
      <w:bCs/>
    </w:rPr>
  </w:style>
  <w:style w:type="character" w:customStyle="1" w:styleId="BodyTextChar">
    <w:name w:val="Body Text Char"/>
    <w:link w:val="BodyText"/>
    <w:rsid w:val="006515D5"/>
    <w:rPr>
      <w:rFonts w:ascii="Arial" w:hAnsi="Arial"/>
      <w:lang w:val="en-GB" w:eastAsia="zh-CN"/>
    </w:rPr>
  </w:style>
  <w:style w:type="paragraph" w:customStyle="1" w:styleId="B5">
    <w:name w:val="B5"/>
    <w:basedOn w:val="List5"/>
    <w:rsid w:val="006515D5"/>
    <w:pPr>
      <w:spacing w:after="180"/>
      <w:jc w:val="left"/>
    </w:pPr>
    <w:rPr>
      <w:lang w:eastAsia="en-US"/>
    </w:rPr>
  </w:style>
  <w:style w:type="paragraph" w:customStyle="1" w:styleId="EX">
    <w:name w:val="EX"/>
    <w:basedOn w:val="Normal"/>
    <w:rsid w:val="006515D5"/>
    <w:pPr>
      <w:keepLines/>
      <w:spacing w:after="180"/>
      <w:ind w:left="1702" w:hanging="1418"/>
      <w:jc w:val="left"/>
    </w:pPr>
    <w:rPr>
      <w:lang w:eastAsia="en-US"/>
    </w:rPr>
  </w:style>
  <w:style w:type="paragraph" w:customStyle="1" w:styleId="EW">
    <w:name w:val="EW"/>
    <w:basedOn w:val="EX"/>
    <w:rsid w:val="006515D5"/>
    <w:pPr>
      <w:spacing w:after="0"/>
    </w:pPr>
  </w:style>
  <w:style w:type="paragraph" w:customStyle="1" w:styleId="TAL">
    <w:name w:val="TAL"/>
    <w:basedOn w:val="Normal"/>
    <w:rsid w:val="006515D5"/>
    <w:pPr>
      <w:keepNext/>
      <w:keepLines/>
      <w:spacing w:after="0"/>
      <w:jc w:val="left"/>
    </w:pPr>
    <w:rPr>
      <w:sz w:val="18"/>
      <w:lang w:eastAsia="en-US"/>
    </w:rPr>
  </w:style>
  <w:style w:type="paragraph" w:customStyle="1" w:styleId="TAC">
    <w:name w:val="TAC"/>
    <w:basedOn w:val="TAL"/>
    <w:rsid w:val="006515D5"/>
    <w:pPr>
      <w:jc w:val="center"/>
    </w:pPr>
  </w:style>
  <w:style w:type="paragraph" w:customStyle="1" w:styleId="TAH">
    <w:name w:val="TAH"/>
    <w:basedOn w:val="TAC"/>
    <w:rsid w:val="006515D5"/>
    <w:rPr>
      <w:b/>
    </w:rPr>
  </w:style>
  <w:style w:type="paragraph" w:customStyle="1" w:styleId="TAN">
    <w:name w:val="TAN"/>
    <w:basedOn w:val="TAL"/>
    <w:rsid w:val="006515D5"/>
    <w:pPr>
      <w:ind w:left="851" w:hanging="851"/>
    </w:pPr>
  </w:style>
  <w:style w:type="paragraph" w:customStyle="1" w:styleId="TAR">
    <w:name w:val="TAR"/>
    <w:basedOn w:val="TAL"/>
    <w:rsid w:val="006515D5"/>
    <w:pPr>
      <w:jc w:val="right"/>
    </w:pPr>
  </w:style>
  <w:style w:type="paragraph" w:customStyle="1" w:styleId="TH">
    <w:name w:val="TH"/>
    <w:basedOn w:val="Normal"/>
    <w:link w:val="THChar"/>
    <w:rsid w:val="006515D5"/>
    <w:pPr>
      <w:keepNext/>
      <w:keepLines/>
      <w:spacing w:before="60" w:after="180"/>
      <w:jc w:val="center"/>
    </w:pPr>
    <w:rPr>
      <w:b/>
      <w:lang w:eastAsia="en-US"/>
    </w:rPr>
  </w:style>
  <w:style w:type="paragraph" w:customStyle="1" w:styleId="TF">
    <w:name w:val="TF"/>
    <w:basedOn w:val="TH"/>
    <w:rsid w:val="006515D5"/>
    <w:pPr>
      <w:keepNext w:val="0"/>
      <w:spacing w:before="0" w:after="240"/>
    </w:pPr>
  </w:style>
  <w:style w:type="paragraph" w:customStyle="1" w:styleId="TT">
    <w:name w:val="TT"/>
    <w:basedOn w:val="Heading1"/>
    <w:next w:val="Normal"/>
    <w:rsid w:val="006515D5"/>
    <w:pPr>
      <w:numPr>
        <w:numId w:val="0"/>
      </w:numPr>
      <w:ind w:left="1134" w:hanging="1134"/>
      <w:outlineLvl w:val="9"/>
    </w:pPr>
    <w:rPr>
      <w:rFonts w:cs="Times New Roman"/>
      <w:szCs w:val="20"/>
      <w:lang w:eastAsia="en-US"/>
    </w:rPr>
  </w:style>
  <w:style w:type="paragraph" w:customStyle="1" w:styleId="ZA">
    <w:name w:val="ZA"/>
    <w:rsid w:val="00651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15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15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15D5"/>
  </w:style>
  <w:style w:type="paragraph" w:customStyle="1" w:styleId="ZH">
    <w:name w:val="ZH"/>
    <w:rsid w:val="006515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1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15D5"/>
    <w:pPr>
      <w:framePr w:hRule="auto" w:wrap="notBeside" w:y="852"/>
    </w:pPr>
    <w:rPr>
      <w:i w:val="0"/>
      <w:sz w:val="40"/>
    </w:rPr>
  </w:style>
  <w:style w:type="paragraph" w:customStyle="1" w:styleId="ZU">
    <w:name w:val="ZU"/>
    <w:rsid w:val="00651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15D5"/>
    <w:pPr>
      <w:framePr w:wrap="notBeside" w:y="16161"/>
    </w:pPr>
  </w:style>
  <w:style w:type="paragraph" w:customStyle="1" w:styleId="FP">
    <w:name w:val="FP"/>
    <w:basedOn w:val="Normal"/>
    <w:rsid w:val="006515D5"/>
    <w:pPr>
      <w:spacing w:after="0"/>
      <w:jc w:val="left"/>
    </w:pPr>
    <w:rPr>
      <w:lang w:eastAsia="en-US"/>
    </w:rPr>
  </w:style>
  <w:style w:type="paragraph" w:customStyle="1" w:styleId="Observation">
    <w:name w:val="Observation"/>
    <w:basedOn w:val="Proposal"/>
    <w:qFormat/>
    <w:rsid w:val="006515D5"/>
    <w:pPr>
      <w:numPr>
        <w:numId w:val="13"/>
      </w:numPr>
      <w:ind w:left="1701" w:hanging="1701"/>
    </w:pPr>
  </w:style>
  <w:style w:type="paragraph" w:styleId="TableofFigures">
    <w:name w:val="table of figures"/>
    <w:basedOn w:val="Normal"/>
    <w:next w:val="Normal"/>
    <w:uiPriority w:val="99"/>
    <w:rsid w:val="006515D5"/>
    <w:pPr>
      <w:ind w:left="1418" w:hanging="1418"/>
      <w:jc w:val="left"/>
    </w:pPr>
    <w:rPr>
      <w:b/>
    </w:rPr>
  </w:style>
  <w:style w:type="paragraph" w:customStyle="1" w:styleId="Doc-text2">
    <w:name w:val="Doc-text2"/>
    <w:basedOn w:val="Normal"/>
    <w:link w:val="Doc-text2Char"/>
    <w:qFormat/>
    <w:rsid w:val="006515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515D5"/>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D24606"/>
    <w:rPr>
      <w:color w:val="808080"/>
      <w:shd w:val="clear" w:color="auto" w:fill="E6E6E6"/>
    </w:rPr>
  </w:style>
  <w:style w:type="paragraph" w:customStyle="1" w:styleId="PL">
    <w:name w:val="PL"/>
    <w:link w:val="PLChar"/>
    <w:rsid w:val="00C94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C9465E"/>
    <w:rPr>
      <w:rFonts w:ascii="Arial" w:hAnsi="Arial"/>
      <w:b/>
      <w:lang w:val="en-GB"/>
    </w:rPr>
  </w:style>
  <w:style w:type="character" w:customStyle="1" w:styleId="PLChar">
    <w:name w:val="PL Char"/>
    <w:link w:val="PL"/>
    <w:rsid w:val="00C9465E"/>
    <w:rPr>
      <w:rFonts w:ascii="Courier New" w:hAnsi="Courier New"/>
      <w:noProof/>
      <w:sz w:val="16"/>
    </w:rPr>
  </w:style>
  <w:style w:type="character" w:customStyle="1" w:styleId="B1Char1">
    <w:name w:val="B1 Char1"/>
    <w:link w:val="B1"/>
    <w:qFormat/>
    <w:rsid w:val="00C946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5NUHHDQN7SK2-1-179812</_dlc_DocId>
    <_dlc_DocIdUrl xmlns="08b2df90-05d3-4030-90d4-c9feeb4a1cd9">
      <Url>https://ericoll.internal.ericsson.com/sites/star/_layouts/DocIdRedir.aspx?ID=5NUHHDQN7SK2-1-179812</Url>
      <Description>5NUHHDQN7SK2-1-179812</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86750009-701D-4914-8AFE-B7A2FE9A2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19</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9</cp:revision>
  <cp:lastPrinted>2008-01-31T16:09:00Z</cp:lastPrinted>
  <dcterms:created xsi:type="dcterms:W3CDTF">2018-02-20T21:26:00Z</dcterms:created>
  <dcterms:modified xsi:type="dcterms:W3CDTF">2018-02-21T00:04:00Z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789237a3-8984-4639-8b2a-04f37a2f0911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